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FB4" w:rsidRDefault="00291FB4" w:rsidP="002A10BD">
      <w:pPr>
        <w:jc w:val="both"/>
        <w:rPr>
          <w:rFonts w:ascii="Arial" w:hAnsi="Arial" w:cs="Arial"/>
          <w:b/>
          <w:lang w:val="es-ES"/>
        </w:rPr>
      </w:pPr>
      <w:bookmarkStart w:id="0" w:name="_GoBack"/>
      <w:r>
        <w:rPr>
          <w:rFonts w:ascii="Arial" w:hAnsi="Arial" w:cs="Arial"/>
          <w:b/>
          <w:sz w:val="22"/>
          <w:szCs w:val="22"/>
          <w:lang w:val="es-ES"/>
        </w:rPr>
        <w:t xml:space="preserve">Consulta formulada sobre a </w:t>
      </w:r>
      <w:r>
        <w:rPr>
          <w:rFonts w:ascii="Arial" w:hAnsi="Arial" w:cs="Arial"/>
          <w:b/>
          <w:sz w:val="22"/>
          <w:szCs w:val="22"/>
        </w:rPr>
        <w:t xml:space="preserve">contratación administrativa da </w:t>
      </w:r>
      <w:r w:rsidRPr="00936F44">
        <w:rPr>
          <w:rFonts w:ascii="Arial" w:hAnsi="Arial" w:cs="Arial"/>
          <w:b/>
          <w:sz w:val="22"/>
          <w:szCs w:val="22"/>
        </w:rPr>
        <w:t xml:space="preserve">subministración de gas natural </w:t>
      </w:r>
      <w:r>
        <w:rPr>
          <w:rFonts w:ascii="Arial" w:hAnsi="Arial" w:cs="Arial"/>
          <w:b/>
          <w:sz w:val="22"/>
          <w:szCs w:val="22"/>
        </w:rPr>
        <w:t>para a Administración do Parlamento de Galicia</w:t>
      </w:r>
    </w:p>
    <w:p w:rsidR="00291FB4" w:rsidRDefault="00291FB4" w:rsidP="002A10BD">
      <w:pPr>
        <w:jc w:val="both"/>
        <w:rPr>
          <w:rFonts w:ascii="Arial" w:hAnsi="Arial" w:cs="Arial"/>
          <w:b/>
          <w:lang w:val="es-ES"/>
        </w:rPr>
      </w:pPr>
    </w:p>
    <w:p w:rsidR="00291FB4" w:rsidRDefault="00291FB4" w:rsidP="002A10BD">
      <w:pPr>
        <w:jc w:val="both"/>
        <w:rPr>
          <w:lang w:val="es-ES"/>
        </w:rPr>
      </w:pPr>
      <w:r>
        <w:rPr>
          <w:lang w:val="es-ES"/>
        </w:rPr>
        <w:t xml:space="preserve">Desde </w:t>
      </w:r>
      <w:r>
        <w:rPr>
          <w:lang w:val="es-ES"/>
        </w:rPr>
        <w:t>XXXX</w:t>
      </w:r>
      <w:r>
        <w:rPr>
          <w:lang w:val="es-ES"/>
        </w:rPr>
        <w:t xml:space="preserve"> estamos preparando nuestra oferta de gas para el concurso que acaba de sacar el Parlamento de Galicia. Para la oferta económica, nos piden que aportemos </w:t>
      </w:r>
      <w:r>
        <w:rPr>
          <w:lang w:val="es-ES"/>
        </w:rPr>
        <w:t>los</w:t>
      </w:r>
      <w:r>
        <w:rPr>
          <w:lang w:val="es-ES"/>
        </w:rPr>
        <w:t xml:space="preserve"> valores de Brent603 y paridad 303. Pensamos que estos valores debería aportarlos el Parlamento, para que todos los comercializadores trabajemos con los mismos modelos, o en su defecto, deben indicarnos en qué páginas oficiales debemos obtener dichos valores.</w:t>
      </w:r>
    </w:p>
    <w:p w:rsidR="00291FB4" w:rsidRDefault="00291FB4" w:rsidP="002A10BD">
      <w:pPr>
        <w:jc w:val="both"/>
        <w:rPr>
          <w:lang w:val="es-ES"/>
        </w:rPr>
      </w:pPr>
    </w:p>
    <w:p w:rsidR="00291FB4" w:rsidRDefault="00291FB4" w:rsidP="002A10BD">
      <w:pPr>
        <w:jc w:val="both"/>
        <w:rPr>
          <w:lang w:val="es-ES"/>
        </w:rPr>
      </w:pPr>
      <w:r>
        <w:rPr>
          <w:lang w:val="es-ES"/>
        </w:rPr>
        <w:t>Quedamos a la espera de estos datos para poder continuar con la elaboración de la oferta. De no recibir esta información, entenderemos que no sería objetiva ni rigurosa la valoración de la oferta económica por parte del Parlamento.</w:t>
      </w:r>
    </w:p>
    <w:p w:rsidR="00291FB4" w:rsidRDefault="00291FB4" w:rsidP="002A10BD">
      <w:pPr>
        <w:jc w:val="both"/>
        <w:rPr>
          <w:lang w:val="es-ES"/>
        </w:rPr>
      </w:pPr>
    </w:p>
    <w:p w:rsidR="00291FB4" w:rsidRDefault="00291FB4" w:rsidP="002A10BD">
      <w:pPr>
        <w:jc w:val="both"/>
        <w:rPr>
          <w:rFonts w:ascii="Arial" w:hAnsi="Arial" w:cs="Arial"/>
          <w:b/>
          <w:lang w:val="es-ES"/>
        </w:rPr>
      </w:pPr>
    </w:p>
    <w:p w:rsidR="00291FB4" w:rsidRDefault="00291FB4" w:rsidP="002A10BD">
      <w:pPr>
        <w:jc w:val="both"/>
        <w:rPr>
          <w:rFonts w:ascii="Arial" w:hAnsi="Arial" w:cs="Arial"/>
          <w:b/>
          <w:lang w:val="es-ES"/>
        </w:rPr>
      </w:pPr>
      <w:r>
        <w:rPr>
          <w:rFonts w:ascii="Arial" w:hAnsi="Arial" w:cs="Arial"/>
          <w:b/>
          <w:lang w:val="es-ES"/>
        </w:rPr>
        <w:t>Contestación:</w:t>
      </w:r>
    </w:p>
    <w:p w:rsidR="00291FB4" w:rsidRDefault="00291FB4" w:rsidP="002A10BD">
      <w:pPr>
        <w:jc w:val="both"/>
        <w:rPr>
          <w:rFonts w:ascii="Arial" w:hAnsi="Arial" w:cs="Arial"/>
          <w:b/>
          <w:lang w:val="es-ES"/>
        </w:rPr>
      </w:pPr>
    </w:p>
    <w:p w:rsidR="00360FF6" w:rsidRPr="00CD4855" w:rsidRDefault="009D1251" w:rsidP="002A10BD">
      <w:pPr>
        <w:jc w:val="both"/>
        <w:rPr>
          <w:rFonts w:ascii="Arial" w:hAnsi="Arial" w:cs="Arial"/>
          <w:b/>
          <w:lang w:val="es-ES"/>
        </w:rPr>
      </w:pPr>
      <w:r>
        <w:rPr>
          <w:rFonts w:ascii="Arial" w:hAnsi="Arial" w:cs="Arial"/>
          <w:b/>
          <w:lang w:val="es-ES"/>
        </w:rPr>
        <w:t>D</w:t>
      </w:r>
      <w:r w:rsidR="00CD4855" w:rsidRPr="00CD4855">
        <w:rPr>
          <w:rFonts w:ascii="Arial" w:hAnsi="Arial" w:cs="Arial"/>
          <w:b/>
          <w:lang w:val="es-ES"/>
        </w:rPr>
        <w:t>eterminación coeficientes barril Brent 603 e o tipo de cambio €/dólar USA TC303:</w:t>
      </w:r>
    </w:p>
    <w:p w:rsidR="003B0BA5" w:rsidRPr="00CD4855" w:rsidRDefault="003B0BA5" w:rsidP="002A10BD">
      <w:pPr>
        <w:jc w:val="both"/>
        <w:rPr>
          <w:rFonts w:ascii="Arial" w:hAnsi="Arial" w:cs="Arial"/>
          <w:lang w:val="es-ES"/>
        </w:rPr>
      </w:pPr>
    </w:p>
    <w:p w:rsidR="003B0BA5" w:rsidRPr="00CD4855" w:rsidRDefault="003B0BA5" w:rsidP="002A10BD">
      <w:pPr>
        <w:autoSpaceDE w:val="0"/>
        <w:autoSpaceDN w:val="0"/>
        <w:adjustRightInd w:val="0"/>
        <w:spacing w:before="60" w:after="60"/>
        <w:jc w:val="both"/>
        <w:rPr>
          <w:rFonts w:ascii="Arial" w:hAnsi="Arial" w:cs="Arial"/>
        </w:rPr>
      </w:pPr>
      <w:r w:rsidRPr="00CD4855">
        <w:rPr>
          <w:rFonts w:ascii="Arial" w:hAnsi="Arial" w:cs="Arial"/>
        </w:rPr>
        <w:t>O apartado 4 do prego de cláusulas administrativas indica que:</w:t>
      </w:r>
    </w:p>
    <w:p w:rsidR="003B0BA5" w:rsidRPr="00CD4855" w:rsidRDefault="003B0BA5" w:rsidP="002A10BD">
      <w:pPr>
        <w:autoSpaceDE w:val="0"/>
        <w:autoSpaceDN w:val="0"/>
        <w:adjustRightInd w:val="0"/>
        <w:spacing w:before="60" w:after="60"/>
        <w:jc w:val="both"/>
        <w:rPr>
          <w:rFonts w:ascii="Arial" w:hAnsi="Arial" w:cs="Arial"/>
        </w:rPr>
      </w:pPr>
      <w:r w:rsidRPr="00CD4855">
        <w:rPr>
          <w:rFonts w:ascii="Arial" w:hAnsi="Arial" w:cs="Arial"/>
        </w:rPr>
        <w:t>“...son coeficientes variables para a determinación do prezo da enerxía:</w:t>
      </w:r>
      <w:r w:rsidRPr="00CD4855">
        <w:rPr>
          <w:rFonts w:ascii="Arial" w:hAnsi="Arial" w:cs="Arial"/>
          <w:b/>
        </w:rPr>
        <w:t xml:space="preserve"> </w:t>
      </w:r>
      <w:r w:rsidRPr="00CD4855">
        <w:rPr>
          <w:rFonts w:ascii="Arial" w:hAnsi="Arial" w:cs="Arial"/>
        </w:rPr>
        <w:t xml:space="preserve">O </w:t>
      </w:r>
      <w:proofErr w:type="spellStart"/>
      <w:r w:rsidRPr="00CD4855">
        <w:rPr>
          <w:rFonts w:ascii="Arial" w:hAnsi="Arial" w:cs="Arial"/>
        </w:rPr>
        <w:t>Brent</w:t>
      </w:r>
      <w:proofErr w:type="spellEnd"/>
      <w:r w:rsidRPr="00CD4855">
        <w:rPr>
          <w:rFonts w:ascii="Arial" w:hAnsi="Arial" w:cs="Arial"/>
        </w:rPr>
        <w:t xml:space="preserve"> e Tipo De Cambio:</w:t>
      </w:r>
      <w:r w:rsidR="00CD4855" w:rsidRPr="00CD4855">
        <w:rPr>
          <w:rFonts w:ascii="Arial" w:hAnsi="Arial" w:cs="Arial"/>
        </w:rPr>
        <w:t xml:space="preserve"> </w:t>
      </w:r>
      <w:r w:rsidRPr="00CD4855">
        <w:rPr>
          <w:rFonts w:ascii="Arial" w:hAnsi="Arial" w:cs="Arial"/>
        </w:rPr>
        <w:t xml:space="preserve">Referidos aos valores de mercado do Brent603 e o tipo de cambio €/dólar USA TC303 </w:t>
      </w:r>
      <w:r w:rsidRPr="00CD4855">
        <w:rPr>
          <w:rFonts w:ascii="Arial" w:hAnsi="Arial" w:cs="Arial"/>
          <w:b/>
        </w:rPr>
        <w:t>determinados polo seu valor medio trimestral vixente en cada momento do ano*</w:t>
      </w:r>
      <w:r w:rsidRPr="00CD4855">
        <w:rPr>
          <w:rFonts w:ascii="Arial" w:hAnsi="Arial" w:cs="Arial"/>
        </w:rPr>
        <w:t xml:space="preserve">. O importe do termo enerxía axustarase trimestralmente, conforme aos coeficientes variables </w:t>
      </w:r>
      <w:proofErr w:type="spellStart"/>
      <w:r w:rsidRPr="00CD4855">
        <w:rPr>
          <w:rFonts w:ascii="Arial" w:hAnsi="Arial" w:cs="Arial"/>
        </w:rPr>
        <w:t>Brent</w:t>
      </w:r>
      <w:proofErr w:type="spellEnd"/>
      <w:r w:rsidRPr="00CD4855">
        <w:rPr>
          <w:rFonts w:ascii="Arial" w:hAnsi="Arial" w:cs="Arial"/>
        </w:rPr>
        <w:t xml:space="preserve"> e TC, circunstancia que a empresa adxudicataria deberá comunicar ao Parlamento, xunto coa súa repercusión no importe do termo variable. O adxudicatario deberá xustificarlle ao Parlamento de Galicia a variación respecto dos valores </w:t>
      </w:r>
      <w:proofErr w:type="spellStart"/>
      <w:r w:rsidRPr="00CD4855">
        <w:rPr>
          <w:rFonts w:ascii="Arial" w:hAnsi="Arial" w:cs="Arial"/>
        </w:rPr>
        <w:t>Brent</w:t>
      </w:r>
      <w:proofErr w:type="spellEnd"/>
      <w:r w:rsidRPr="00CD4855">
        <w:rPr>
          <w:rFonts w:ascii="Arial" w:hAnsi="Arial" w:cs="Arial"/>
        </w:rPr>
        <w:t xml:space="preserve"> e TC”.</w:t>
      </w:r>
    </w:p>
    <w:p w:rsidR="003B0BA5" w:rsidRPr="00CD4855" w:rsidRDefault="003B0BA5" w:rsidP="002A10BD">
      <w:pPr>
        <w:autoSpaceDE w:val="0"/>
        <w:autoSpaceDN w:val="0"/>
        <w:adjustRightInd w:val="0"/>
        <w:spacing w:before="60" w:after="60"/>
        <w:jc w:val="both"/>
        <w:rPr>
          <w:rFonts w:ascii="Arial" w:hAnsi="Arial" w:cs="Arial"/>
        </w:rPr>
      </w:pPr>
    </w:p>
    <w:p w:rsidR="003B0BA5" w:rsidRPr="00CD4855" w:rsidRDefault="003B0BA5" w:rsidP="002A10BD">
      <w:pPr>
        <w:autoSpaceDE w:val="0"/>
        <w:autoSpaceDN w:val="0"/>
        <w:adjustRightInd w:val="0"/>
        <w:spacing w:before="60" w:after="60"/>
        <w:jc w:val="both"/>
        <w:rPr>
          <w:rFonts w:ascii="Arial" w:hAnsi="Arial" w:cs="Arial"/>
        </w:rPr>
      </w:pPr>
      <w:r w:rsidRPr="00CD4855">
        <w:rPr>
          <w:rFonts w:ascii="Arial" w:hAnsi="Arial" w:cs="Arial"/>
        </w:rPr>
        <w:t xml:space="preserve">* Polo tanto, estes valores deben corresponderse co </w:t>
      </w:r>
      <w:proofErr w:type="spellStart"/>
      <w:r w:rsidRPr="00CD4855">
        <w:rPr>
          <w:rFonts w:ascii="Arial" w:hAnsi="Arial" w:cs="Arial"/>
        </w:rPr>
        <w:t>promedio</w:t>
      </w:r>
      <w:proofErr w:type="spellEnd"/>
      <w:r w:rsidRPr="00CD4855">
        <w:rPr>
          <w:rFonts w:ascii="Arial" w:hAnsi="Arial" w:cs="Arial"/>
        </w:rPr>
        <w:t xml:space="preserve"> diario </w:t>
      </w:r>
      <w:r w:rsidRPr="00CD4855">
        <w:rPr>
          <w:rFonts w:ascii="Arial" w:hAnsi="Arial" w:cs="Arial"/>
          <w:b/>
        </w:rPr>
        <w:t>do último trimestre completo vixente</w:t>
      </w:r>
      <w:r w:rsidRPr="00CD4855">
        <w:rPr>
          <w:rFonts w:ascii="Arial" w:hAnsi="Arial" w:cs="Arial"/>
        </w:rPr>
        <w:t>, que neste caso é o terceiro trimestre do ano.</w:t>
      </w:r>
    </w:p>
    <w:p w:rsidR="003B0BA5" w:rsidRPr="00CD4855" w:rsidRDefault="003B0BA5" w:rsidP="002A10BD">
      <w:pPr>
        <w:autoSpaceDE w:val="0"/>
        <w:autoSpaceDN w:val="0"/>
        <w:adjustRightInd w:val="0"/>
        <w:spacing w:before="60" w:after="60"/>
        <w:jc w:val="both"/>
        <w:rPr>
          <w:rFonts w:ascii="Arial" w:hAnsi="Arial" w:cs="Arial"/>
        </w:rPr>
      </w:pPr>
    </w:p>
    <w:p w:rsidR="003B0BA5" w:rsidRPr="00CD4855" w:rsidRDefault="003B0BA5" w:rsidP="002A10BD">
      <w:pPr>
        <w:autoSpaceDE w:val="0"/>
        <w:autoSpaceDN w:val="0"/>
        <w:adjustRightInd w:val="0"/>
        <w:spacing w:before="60" w:after="60"/>
        <w:jc w:val="both"/>
        <w:rPr>
          <w:rFonts w:ascii="Arial" w:hAnsi="Arial" w:cs="Arial"/>
        </w:rPr>
      </w:pPr>
      <w:r w:rsidRPr="00CD4855">
        <w:rPr>
          <w:rFonts w:ascii="Arial" w:hAnsi="Arial" w:cs="Arial"/>
        </w:rPr>
        <w:t>Para o tipo de cambio €/dólar TC303 é posible atopar ditos valores no Banco de España.</w:t>
      </w:r>
    </w:p>
    <w:p w:rsidR="003B0BA5" w:rsidRPr="00CD4855" w:rsidRDefault="003B0BA5" w:rsidP="002A10BD">
      <w:pPr>
        <w:autoSpaceDE w:val="0"/>
        <w:autoSpaceDN w:val="0"/>
        <w:adjustRightInd w:val="0"/>
        <w:spacing w:before="60" w:after="60"/>
        <w:jc w:val="both"/>
        <w:rPr>
          <w:rFonts w:ascii="Arial" w:hAnsi="Arial" w:cs="Arial"/>
        </w:rPr>
      </w:pPr>
      <w:r w:rsidRPr="00CD4855">
        <w:rPr>
          <w:rFonts w:ascii="Arial" w:hAnsi="Arial" w:cs="Arial"/>
        </w:rPr>
        <w:t xml:space="preserve">Para os valores de referencia do prezo de mercado do </w:t>
      </w:r>
      <w:proofErr w:type="spellStart"/>
      <w:r w:rsidRPr="00CD4855">
        <w:rPr>
          <w:rFonts w:ascii="Arial" w:hAnsi="Arial" w:cs="Arial"/>
        </w:rPr>
        <w:t>Brent</w:t>
      </w:r>
      <w:proofErr w:type="spellEnd"/>
      <w:r w:rsidRPr="00CD4855">
        <w:rPr>
          <w:rFonts w:ascii="Arial" w:hAnsi="Arial" w:cs="Arial"/>
        </w:rPr>
        <w:t xml:space="preserve"> 603 existen numerosas páxinas web. de </w:t>
      </w:r>
      <w:proofErr w:type="spellStart"/>
      <w:r w:rsidRPr="00CD4855">
        <w:rPr>
          <w:rFonts w:ascii="Arial" w:hAnsi="Arial" w:cs="Arial"/>
        </w:rPr>
        <w:t>proovedores</w:t>
      </w:r>
      <w:proofErr w:type="spellEnd"/>
      <w:r w:rsidRPr="00CD4855">
        <w:rPr>
          <w:rFonts w:ascii="Arial" w:hAnsi="Arial" w:cs="Arial"/>
        </w:rPr>
        <w:t xml:space="preserve"> globais de información sobre enerxía e produtos petroquímicos, por exemplo: </w:t>
      </w:r>
      <w:proofErr w:type="spellStart"/>
      <w:r w:rsidRPr="00CD4855">
        <w:rPr>
          <w:rFonts w:ascii="Arial" w:hAnsi="Arial" w:cs="Arial"/>
        </w:rPr>
        <w:t>Platt’s</w:t>
      </w:r>
      <w:proofErr w:type="spellEnd"/>
      <w:r w:rsidRPr="00CD4855">
        <w:rPr>
          <w:rFonts w:ascii="Arial" w:hAnsi="Arial" w:cs="Arial"/>
        </w:rPr>
        <w:t xml:space="preserve"> </w:t>
      </w:r>
      <w:proofErr w:type="spellStart"/>
      <w:r w:rsidRPr="00CD4855">
        <w:rPr>
          <w:rFonts w:ascii="Arial" w:hAnsi="Arial" w:cs="Arial"/>
        </w:rPr>
        <w:t>Oilgram</w:t>
      </w:r>
      <w:proofErr w:type="spellEnd"/>
      <w:r w:rsidRPr="00CD4855">
        <w:rPr>
          <w:rFonts w:ascii="Arial" w:hAnsi="Arial" w:cs="Arial"/>
        </w:rPr>
        <w:t xml:space="preserve"> </w:t>
      </w:r>
      <w:proofErr w:type="spellStart"/>
      <w:r w:rsidRPr="00CD4855">
        <w:rPr>
          <w:rFonts w:ascii="Arial" w:hAnsi="Arial" w:cs="Arial"/>
        </w:rPr>
        <w:t>Price</w:t>
      </w:r>
      <w:proofErr w:type="spellEnd"/>
      <w:r w:rsidRPr="00CD4855">
        <w:rPr>
          <w:rFonts w:ascii="Arial" w:hAnsi="Arial" w:cs="Arial"/>
        </w:rPr>
        <w:t xml:space="preserve"> </w:t>
      </w:r>
      <w:proofErr w:type="spellStart"/>
      <w:r w:rsidRPr="00CD4855">
        <w:rPr>
          <w:rFonts w:ascii="Arial" w:hAnsi="Arial" w:cs="Arial"/>
        </w:rPr>
        <w:t>Report</w:t>
      </w:r>
      <w:proofErr w:type="spellEnd"/>
      <w:r w:rsidRPr="00CD4855">
        <w:rPr>
          <w:rFonts w:ascii="Arial" w:hAnsi="Arial" w:cs="Arial"/>
        </w:rPr>
        <w:t xml:space="preserve"> (</w:t>
      </w:r>
      <w:hyperlink r:id="rId5" w:history="1">
        <w:r w:rsidRPr="00CD4855">
          <w:rPr>
            <w:rStyle w:val="Hipervnculo"/>
            <w:rFonts w:ascii="Arial" w:hAnsi="Arial" w:cs="Arial"/>
          </w:rPr>
          <w:t>http://www.platts.com/products/oilgram-price-report</w:t>
        </w:r>
      </w:hyperlink>
      <w:r w:rsidR="00CD4855">
        <w:rPr>
          <w:rFonts w:ascii="Arial" w:hAnsi="Arial" w:cs="Arial"/>
        </w:rPr>
        <w:t>).</w:t>
      </w:r>
    </w:p>
    <w:bookmarkEnd w:id="0"/>
    <w:p w:rsidR="003B0BA5" w:rsidRPr="00CD4855" w:rsidRDefault="003B0BA5" w:rsidP="002A10BD">
      <w:pPr>
        <w:jc w:val="both"/>
        <w:rPr>
          <w:rFonts w:ascii="Arial" w:hAnsi="Arial" w:cs="Arial"/>
        </w:rPr>
      </w:pPr>
    </w:p>
    <w:sectPr w:rsidR="003B0BA5" w:rsidRPr="00CD48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A5"/>
    <w:rsid w:val="00291FB4"/>
    <w:rsid w:val="002A10BD"/>
    <w:rsid w:val="00360FF6"/>
    <w:rsid w:val="003B0BA5"/>
    <w:rsid w:val="009D1251"/>
    <w:rsid w:val="00CD48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BA5"/>
    <w:pPr>
      <w:spacing w:after="0" w:line="240" w:lineRule="auto"/>
    </w:pPr>
    <w:rPr>
      <w:rFonts w:ascii="Times New Roman" w:hAnsi="Times New Roman" w:cs="Times New Roman"/>
      <w:sz w:val="24"/>
      <w:szCs w:val="24"/>
      <w:lang w:val="gl-ES" w:eastAsia="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B0B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BA5"/>
    <w:pPr>
      <w:spacing w:after="0" w:line="240" w:lineRule="auto"/>
    </w:pPr>
    <w:rPr>
      <w:rFonts w:ascii="Times New Roman" w:hAnsi="Times New Roman" w:cs="Times New Roman"/>
      <w:sz w:val="24"/>
      <w:szCs w:val="24"/>
      <w:lang w:val="gl-ES" w:eastAsia="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B0B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90533">
      <w:bodyDiv w:val="1"/>
      <w:marLeft w:val="0"/>
      <w:marRight w:val="0"/>
      <w:marTop w:val="0"/>
      <w:marBottom w:val="0"/>
      <w:divBdr>
        <w:top w:val="none" w:sz="0" w:space="0" w:color="auto"/>
        <w:left w:val="none" w:sz="0" w:space="0" w:color="auto"/>
        <w:bottom w:val="none" w:sz="0" w:space="0" w:color="auto"/>
        <w:right w:val="none" w:sz="0" w:space="0" w:color="auto"/>
      </w:divBdr>
    </w:div>
    <w:div w:id="1077022744">
      <w:bodyDiv w:val="1"/>
      <w:marLeft w:val="0"/>
      <w:marRight w:val="0"/>
      <w:marTop w:val="0"/>
      <w:marBottom w:val="0"/>
      <w:divBdr>
        <w:top w:val="none" w:sz="0" w:space="0" w:color="auto"/>
        <w:left w:val="none" w:sz="0" w:space="0" w:color="auto"/>
        <w:bottom w:val="none" w:sz="0" w:space="0" w:color="auto"/>
        <w:right w:val="none" w:sz="0" w:space="0" w:color="auto"/>
      </w:divBdr>
    </w:div>
    <w:div w:id="163290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platts.com/products/oilgram-price-repor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26ce67-b0ba-4ae0-bdf0-ce9e2236012f">DJ4UQAZPSWKK-1840185369-369</_dlc_DocId>
    <_dlc_DocIdUrl xmlns="4026ce67-b0ba-4ae0-bdf0-ce9e2236012f">
      <Url>http://spsweb/sitios/web/_layouts/15/DocIdRedir.aspx?ID=DJ4UQAZPSWKK-1840185369-369</Url>
      <Description>DJ4UQAZPSWKK-1840185369-369</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44E0A5FB804CE7419A4354DD1F9C6C12" ma:contentTypeVersion="2" ma:contentTypeDescription="Crear nuevo documento." ma:contentTypeScope="" ma:versionID="79b963e97ec4415bc051657f462fe41a">
  <xsd:schema xmlns:xsd="http://www.w3.org/2001/XMLSchema" xmlns:xs="http://www.w3.org/2001/XMLSchema" xmlns:p="http://schemas.microsoft.com/office/2006/metadata/properties" xmlns:ns2="4026ce67-b0ba-4ae0-bdf0-ce9e2236012f" targetNamespace="http://schemas.microsoft.com/office/2006/metadata/properties" ma:root="true" ma:fieldsID="a5853adb6e1a0af00cda11592ee27925" ns2:_="">
    <xsd:import namespace="4026ce67-b0ba-4ae0-bdf0-ce9e22360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6ce67-b0ba-4ae0-bdf0-ce9e2236012f"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E4FC7-488F-4DA0-96C4-239CDE60D83C}"/>
</file>

<file path=customXml/itemProps2.xml><?xml version="1.0" encoding="utf-8"?>
<ds:datastoreItem xmlns:ds="http://schemas.openxmlformats.org/officeDocument/2006/customXml" ds:itemID="{A145893C-1432-4396-9721-6BC9A58CD0A4}"/>
</file>

<file path=customXml/itemProps3.xml><?xml version="1.0" encoding="utf-8"?>
<ds:datastoreItem xmlns:ds="http://schemas.openxmlformats.org/officeDocument/2006/customXml" ds:itemID="{A33D02F2-4921-4D8A-BC1A-6731E0097E67}"/>
</file>

<file path=customXml/itemProps4.xml><?xml version="1.0" encoding="utf-8"?>
<ds:datastoreItem xmlns:ds="http://schemas.openxmlformats.org/officeDocument/2006/customXml" ds:itemID="{C33B9566-5649-44FE-BFDB-8534C4C0F7F6}"/>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Parlamento de Galicia</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Nercellas Méndez, Martin</dc:creator>
  <cp:lastModifiedBy>Nercellas Méndez, Martin</cp:lastModifiedBy>
  <cp:revision>3</cp:revision>
  <dcterms:created xsi:type="dcterms:W3CDTF">2014-12-15T11:05:00Z</dcterms:created>
  <dcterms:modified xsi:type="dcterms:W3CDTF">2014-12-15T11:06:00Z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0x01010044E0A5FB804CE7419A4354DD1F9C6C12</vt:lpwstr>
  </property>
  <property fmtid="{D5CDD505-2E9C-101B-9397-08002B2CF9AE}" pid="3" name="_dlc_DocIdItemGuid">
    <vt:lpwstr>79169c76-84b6-4e16-a61c-f3c2bec2b309</vt:lpwstr>
  </property>
</Properties>
</file>